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75EC7C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6CE1">
        <w:t>114-bis</w:t>
      </w:r>
      <w:r w:rsidRPr="00CE0424">
        <w:tab/>
      </w:r>
      <w:r w:rsidRPr="00E57527">
        <w:rPr>
          <w:sz w:val="32"/>
          <w:szCs w:val="32"/>
        </w:rPr>
        <w:t xml:space="preserve">Tdoc </w:t>
      </w:r>
      <w:r w:rsidR="00091557" w:rsidRPr="00E57527">
        <w:rPr>
          <w:sz w:val="32"/>
          <w:szCs w:val="32"/>
        </w:rPr>
        <w:t>R</w:t>
      </w:r>
      <w:r w:rsidR="008F1C4E" w:rsidRPr="00E57527">
        <w:rPr>
          <w:sz w:val="32"/>
          <w:szCs w:val="32"/>
        </w:rPr>
        <w:t>1</w:t>
      </w:r>
      <w:r w:rsidR="00091557" w:rsidRPr="00E57527">
        <w:rPr>
          <w:sz w:val="32"/>
          <w:szCs w:val="32"/>
        </w:rPr>
        <w:t>-</w:t>
      </w:r>
      <w:r w:rsidR="007A1891">
        <w:rPr>
          <w:sz w:val="32"/>
          <w:szCs w:val="32"/>
        </w:rPr>
        <w:t>23</w:t>
      </w:r>
      <w:r w:rsidR="00E57527" w:rsidRPr="00E57527">
        <w:rPr>
          <w:sz w:val="32"/>
          <w:szCs w:val="32"/>
        </w:rPr>
        <w:t>1008</w:t>
      </w:r>
      <w:r w:rsidR="00E04BBB">
        <w:rPr>
          <w:sz w:val="32"/>
          <w:szCs w:val="32"/>
        </w:rPr>
        <w:t>4</w:t>
      </w:r>
    </w:p>
    <w:p w14:paraId="0CE7B7E6" w14:textId="7E90E6DD" w:rsidR="00E90E49" w:rsidRPr="000E6CE1" w:rsidRDefault="000E6CE1" w:rsidP="00311702">
      <w:pPr>
        <w:pStyle w:val="3GPPHeader"/>
      </w:pPr>
      <w:r w:rsidRPr="000E6CE1">
        <w:t>Xiamen, China</w:t>
      </w:r>
      <w:r w:rsidR="0027144F" w:rsidRPr="000E6CE1">
        <w:t xml:space="preserve">, </w:t>
      </w:r>
      <w:r w:rsidRPr="000E6CE1">
        <w:t>October</w:t>
      </w:r>
      <w:r w:rsidR="0027144F" w:rsidRPr="000E6CE1">
        <w:t xml:space="preserve"> </w:t>
      </w:r>
      <w:r w:rsidRPr="000E6CE1">
        <w:t>9</w:t>
      </w:r>
      <w:r w:rsidRPr="000E6CE1">
        <w:rPr>
          <w:vertAlign w:val="superscript"/>
        </w:rPr>
        <w:t>th</w:t>
      </w:r>
      <w:r w:rsidR="001D53E7" w:rsidRPr="000E6CE1">
        <w:t xml:space="preserve"> – </w:t>
      </w:r>
      <w:r w:rsidRPr="000E6CE1">
        <w:t>13</w:t>
      </w:r>
      <w:r w:rsidR="001D53E7" w:rsidRPr="000E6CE1">
        <w:rPr>
          <w:vertAlign w:val="superscript"/>
        </w:rPr>
        <w:t>th</w:t>
      </w:r>
      <w:r w:rsidRPr="000E6CE1">
        <w:t>, 2023</w:t>
      </w:r>
    </w:p>
    <w:p w14:paraId="3086AC07" w14:textId="77777777" w:rsidR="00E90E49" w:rsidRPr="000E6CE1" w:rsidRDefault="00E90E49" w:rsidP="00357380">
      <w:pPr>
        <w:pStyle w:val="3GPPHeader"/>
      </w:pPr>
    </w:p>
    <w:p w14:paraId="3982483C" w14:textId="2DA1392F" w:rsidR="00E90E49" w:rsidRPr="008F1C4E" w:rsidRDefault="00E90E49" w:rsidP="00311702">
      <w:pPr>
        <w:pStyle w:val="3GPPHeader"/>
        <w:rPr>
          <w:sz w:val="22"/>
          <w:lang w:val="sv-FI"/>
        </w:rPr>
      </w:pPr>
      <w:r w:rsidRPr="000E6CE1">
        <w:rPr>
          <w:sz w:val="22"/>
          <w:lang w:val="sv-FI"/>
        </w:rPr>
        <w:t>Agenda Item:</w:t>
      </w:r>
      <w:r w:rsidRPr="000E6CE1">
        <w:rPr>
          <w:sz w:val="22"/>
          <w:lang w:val="sv-FI"/>
        </w:rPr>
        <w:tab/>
      </w:r>
      <w:r w:rsidR="000E6CE1">
        <w:rPr>
          <w:sz w:val="22"/>
          <w:lang w:val="sv-FI"/>
        </w:rPr>
        <w:t>7.</w:t>
      </w:r>
      <w:r w:rsidR="00E04BBB">
        <w:rPr>
          <w:sz w:val="22"/>
          <w:lang w:val="sv-FI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75749FF" w:rsidR="00E90E49" w:rsidRPr="00CE0424" w:rsidRDefault="003D3C45" w:rsidP="00E04BBB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04BBB" w:rsidRPr="00E04BBB">
        <w:rPr>
          <w:sz w:val="22"/>
        </w:rPr>
        <w:t>Discussion on DCI field interpretation for multi-PXSCH scheduling during BWP switching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E6CE1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0973DD3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FB40D1" w14:textId="5C4428FC" w:rsidR="00E04BBB" w:rsidRDefault="00E63AF3" w:rsidP="00E04BBB">
      <w:pPr>
        <w:rPr>
          <w:lang w:val="en-GB" w:eastAsia="ja-JP"/>
        </w:rPr>
      </w:pPr>
      <w:r w:rsidRPr="00E63AF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03D1EE" wp14:editId="5E4465F3">
                <wp:simplePos x="0" y="0"/>
                <wp:positionH relativeFrom="margin">
                  <wp:align>right</wp:align>
                </wp:positionH>
                <wp:positionV relativeFrom="paragraph">
                  <wp:posOffset>255270</wp:posOffset>
                </wp:positionV>
                <wp:extent cx="6107430" cy="3942080"/>
                <wp:effectExtent l="0" t="0" r="26670" b="2032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39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C80BA" w14:textId="26F13331" w:rsidR="00E63AF3" w:rsidRPr="00E63AF3" w:rsidRDefault="00E63AF3" w:rsidP="00E63AF3">
                            <w:pPr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  <w:t>Conclusion</w:t>
                            </w:r>
                          </w:p>
                          <w:p w14:paraId="7F032A0C" w14:textId="77777777" w:rsidR="00E63AF3" w:rsidRPr="00E63AF3" w:rsidRDefault="00E63AF3" w:rsidP="00E63AF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For issues 1 and 2, the two possible interpretations below were discussed at RAN1#114, and the discussion can continue at a future meeting, including the potential specification impact:</w:t>
                            </w:r>
                          </w:p>
                          <w:p w14:paraId="3770FD54" w14:textId="77777777" w:rsidR="00E63AF3" w:rsidRPr="00E63AF3" w:rsidRDefault="00E63AF3" w:rsidP="00E63AF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04B359CF" w14:textId="77777777" w:rsidR="00E63AF3" w:rsidRPr="00E63AF3" w:rsidRDefault="00E63AF3" w:rsidP="00E63AF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Interpretation #1</w:t>
                            </w:r>
                          </w:p>
                          <w:p w14:paraId="6F8908F4" w14:textId="77777777" w:rsidR="00E63AF3" w:rsidRPr="00E63AF3" w:rsidRDefault="00E63AF3" w:rsidP="00E63AF3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val="en-GB" w:eastAsia="ko-KR"/>
                              </w:rPr>
                              <w:t>To determine DCI field sizes of NDI/RV for PDSCH and NDI/RV/CBGTI/UL-SCH indicator for PUSCH,</w:t>
                            </w:r>
                          </w:p>
                          <w:p w14:paraId="77295FAA" w14:textId="77777777" w:rsidR="00E63AF3" w:rsidRPr="00E63AF3" w:rsidRDefault="00E63AF3" w:rsidP="00E63AF3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The number of scheduled PDSCHs (or PUSCHs) indicated by the Time domain resource assignment (TDRA) field is determined based on the TDRA field configuration for the 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eastAsia="ko-KR"/>
                              </w:rPr>
                              <w:t>active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 bandwidth part.</w:t>
                            </w:r>
                          </w:p>
                          <w:p w14:paraId="0947F3AC" w14:textId="77777777" w:rsidR="00E63AF3" w:rsidRPr="00E63AF3" w:rsidRDefault="00E63AF3" w:rsidP="00E63AF3">
                            <w:pPr>
                              <w:numPr>
                                <w:ilvl w:val="2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If BWP switching is indicated, UE is required to interpret TDRA field twice (i.e., one is based on TDRA field configuration for the 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eastAsia="ko-KR"/>
                              </w:rPr>
                              <w:t>active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 bandwidth part and the other is based on that for the 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eastAsia="ko-KR"/>
                              </w:rPr>
                              <w:t>indicated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 bandwidth part).</w:t>
                            </w:r>
                          </w:p>
                          <w:p w14:paraId="285BCB27" w14:textId="77777777" w:rsidR="00E63AF3" w:rsidRPr="00E63AF3" w:rsidRDefault="00E63AF3" w:rsidP="00E63AF3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>FFS: Any specification impact</w:t>
                            </w:r>
                          </w:p>
                          <w:p w14:paraId="648D5D73" w14:textId="77777777" w:rsidR="00E63AF3" w:rsidRPr="00E63AF3" w:rsidRDefault="00E63AF3" w:rsidP="00E63AF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1E46ED28" w14:textId="77777777" w:rsidR="00E63AF3" w:rsidRPr="00E63AF3" w:rsidRDefault="00E63AF3" w:rsidP="00E63AF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Interpretation #2</w:t>
                            </w:r>
                          </w:p>
                          <w:p w14:paraId="2204CBFC" w14:textId="77777777" w:rsidR="00E63AF3" w:rsidRPr="00E63AF3" w:rsidRDefault="00E63AF3" w:rsidP="00E63AF3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val="en-GB" w:eastAsia="ko-KR"/>
                              </w:rPr>
                              <w:t>To determine DCI field sizes of NDI/RV for PDSCH and NDI/RV/CBGTI/UL-SCH indicator for PUSCH when BWP switching field indicates a bandwidth part other than the active bandwidth part,</w:t>
                            </w:r>
                          </w:p>
                          <w:p w14:paraId="2D123BB8" w14:textId="77777777" w:rsidR="00E63AF3" w:rsidRPr="00E63AF3" w:rsidRDefault="00E63AF3" w:rsidP="00E63AF3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 New Roman" w:eastAsia="DengXian" w:hAnsi="Times New Roman" w:cs="Times New Roman" w:hint="eastAsia"/>
                                <w:szCs w:val="24"/>
                                <w:lang w:eastAsia="ko-KR"/>
                              </w:rPr>
                              <w:t>If the active BWP is configured with multi-PDSCH (or multi-PUSCH) scheduling,</w:t>
                            </w:r>
                          </w:p>
                          <w:p w14:paraId="2F89CC06" w14:textId="77777777" w:rsidR="00E63AF3" w:rsidRPr="00E63AF3" w:rsidRDefault="00E63AF3" w:rsidP="00E63AF3">
                            <w:pPr>
                              <w:numPr>
                                <w:ilvl w:val="2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The number of scheduled PDSCHs (or PUSCHs) indicated by the Time domain resource assignment (TDRA) field is determined based on the TDRA field configuration for the 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eastAsia="ko-KR"/>
                              </w:rPr>
                              <w:t>indicated</w:t>
                            </w: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 bandwidth part.</w:t>
                            </w:r>
                          </w:p>
                          <w:p w14:paraId="5464D546" w14:textId="77777777" w:rsidR="00E63AF3" w:rsidRPr="00E63AF3" w:rsidRDefault="00E63AF3" w:rsidP="00E63AF3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 xml:space="preserve">Otherwise, if </w:t>
                            </w:r>
                            <w:r w:rsidRPr="00E63AF3">
                              <w:rPr>
                                <w:rFonts w:ascii="Times New Roman" w:eastAsia="DengXian" w:hAnsi="Times New Roman" w:cs="Times New Roman" w:hint="eastAsia"/>
                                <w:szCs w:val="24"/>
                                <w:lang w:eastAsia="ko-KR"/>
                              </w:rPr>
                              <w:t xml:space="preserve">the active BWP is </w:t>
                            </w:r>
                            <w:r w:rsidRPr="00E63AF3">
                              <w:rPr>
                                <w:rFonts w:ascii="Times New Roman" w:eastAsia="DengXian" w:hAnsi="Times New Roman" w:cs="Times New Roman"/>
                                <w:szCs w:val="24"/>
                                <w:lang w:eastAsia="ko-KR"/>
                              </w:rPr>
                              <w:t xml:space="preserve">NOT </w:t>
                            </w:r>
                            <w:r w:rsidRPr="00E63AF3">
                              <w:rPr>
                                <w:rFonts w:ascii="Times New Roman" w:eastAsia="DengXian" w:hAnsi="Times New Roman" w:cs="Times New Roman" w:hint="eastAsia"/>
                                <w:szCs w:val="24"/>
                                <w:lang w:eastAsia="ko-KR"/>
                              </w:rPr>
                              <w:t>configured with multi-PDSCH (or multi-PUSCH) scheduling,</w:t>
                            </w:r>
                          </w:p>
                          <w:p w14:paraId="3B56C921" w14:textId="77777777" w:rsidR="00E63AF3" w:rsidRPr="00E63AF3" w:rsidRDefault="00E63AF3" w:rsidP="00E63AF3">
                            <w:pPr>
                              <w:numPr>
                                <w:ilvl w:val="2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>The above DCI field sizes follow the same value as single-PUSCH scheduling.</w:t>
                            </w:r>
                          </w:p>
                          <w:p w14:paraId="0B6EC3A5" w14:textId="77777777" w:rsidR="00E63AF3" w:rsidRPr="00E63AF3" w:rsidRDefault="00E63AF3" w:rsidP="00E63AF3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52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E63AF3">
                              <w:rPr>
                                <w:rFonts w:ascii="Times" w:eastAsia="Batang" w:hAnsi="Times" w:cs="Times New Roman"/>
                                <w:szCs w:val="24"/>
                                <w:lang w:eastAsia="ko-KR"/>
                              </w:rPr>
                              <w:t>FFS: Any specification impact</w:t>
                            </w:r>
                          </w:p>
                          <w:p w14:paraId="62E8DBB7" w14:textId="362790F7" w:rsidR="00E63AF3" w:rsidRDefault="00E63A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3D1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7pt;margin-top:20.1pt;width:480.9pt;height:310.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">
                <v:textbox>
                  <w:txbxContent>
                    <w:p w14:paraId="309C80BA" w14:textId="26F13331" w:rsidR="00E63AF3" w:rsidRPr="00E63AF3" w:rsidRDefault="00E63AF3" w:rsidP="00E63AF3">
                      <w:pPr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  <w:t>Conclusion</w:t>
                      </w:r>
                    </w:p>
                    <w:p w14:paraId="7F032A0C" w14:textId="77777777" w:rsidR="00E63AF3" w:rsidRPr="00E63AF3" w:rsidRDefault="00E63AF3" w:rsidP="00E63AF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For issues 1 and 2, the two possible interpretations below were discussed at RAN1#114, and the discussion can continue at a future meeting, including the potential specification impact:</w:t>
                      </w:r>
                    </w:p>
                    <w:p w14:paraId="3770FD54" w14:textId="77777777" w:rsidR="00E63AF3" w:rsidRPr="00E63AF3" w:rsidRDefault="00E63AF3" w:rsidP="00E63AF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</w:p>
                    <w:p w14:paraId="04B359CF" w14:textId="77777777" w:rsidR="00E63AF3" w:rsidRPr="00E63AF3" w:rsidRDefault="00E63AF3" w:rsidP="00E63AF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Interpretation #1</w:t>
                      </w:r>
                    </w:p>
                    <w:p w14:paraId="6F8908F4" w14:textId="77777777" w:rsidR="00E63AF3" w:rsidRPr="00E63AF3" w:rsidRDefault="00E63AF3" w:rsidP="00E63AF3">
                      <w:pPr>
                        <w:numPr>
                          <w:ilvl w:val="0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 New Roman" w:eastAsia="Times New Roman" w:hAnsi="Times New Roman" w:cs="Times New Roman"/>
                          <w:szCs w:val="24"/>
                          <w:lang w:val="en-GB" w:eastAsia="ko-KR"/>
                        </w:rPr>
                        <w:t>To determine DCI field sizes of NDI/RV for PDSCH and NDI/RV/CBGTI/UL-SCH indicator for PUSCH,</w:t>
                      </w:r>
                    </w:p>
                    <w:p w14:paraId="77295FAA" w14:textId="77777777" w:rsidR="00E63AF3" w:rsidRPr="00E63AF3" w:rsidRDefault="00E63AF3" w:rsidP="00E63AF3">
                      <w:pPr>
                        <w:numPr>
                          <w:ilvl w:val="1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The number of scheduled PDSCHs (or PUSCHs) indicated by the Time domain resource assignment (TDRA) field is determined based on the TDRA field configuration for the </w:t>
                      </w:r>
                      <w:r w:rsidRPr="00E63AF3">
                        <w:rPr>
                          <w:rFonts w:ascii="Times" w:eastAsia="Batang" w:hAnsi="Times" w:cs="Times New Roman"/>
                          <w:b/>
                          <w:szCs w:val="24"/>
                          <w:lang w:eastAsia="ko-KR"/>
                        </w:rPr>
                        <w:t>active</w:t>
                      </w: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 bandwidth part.</w:t>
                      </w:r>
                    </w:p>
                    <w:p w14:paraId="0947F3AC" w14:textId="77777777" w:rsidR="00E63AF3" w:rsidRPr="00E63AF3" w:rsidRDefault="00E63AF3" w:rsidP="00E63AF3">
                      <w:pPr>
                        <w:numPr>
                          <w:ilvl w:val="2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If BWP switching is indicated, UE is required to interpret TDRA field twice (i.e., one is based on TDRA field configuration for the </w:t>
                      </w:r>
                      <w:r w:rsidRPr="00E63AF3">
                        <w:rPr>
                          <w:rFonts w:ascii="Times" w:eastAsia="Batang" w:hAnsi="Times" w:cs="Times New Roman"/>
                          <w:b/>
                          <w:szCs w:val="24"/>
                          <w:lang w:eastAsia="ko-KR"/>
                        </w:rPr>
                        <w:t>active</w:t>
                      </w: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 bandwidth part and the other is based on that for the </w:t>
                      </w:r>
                      <w:r w:rsidRPr="00E63AF3">
                        <w:rPr>
                          <w:rFonts w:ascii="Times" w:eastAsia="Batang" w:hAnsi="Times" w:cs="Times New Roman"/>
                          <w:b/>
                          <w:szCs w:val="24"/>
                          <w:lang w:eastAsia="ko-KR"/>
                        </w:rPr>
                        <w:t>indicated</w:t>
                      </w: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 bandwidth part).</w:t>
                      </w:r>
                    </w:p>
                    <w:p w14:paraId="285BCB27" w14:textId="77777777" w:rsidR="00E63AF3" w:rsidRPr="00E63AF3" w:rsidRDefault="00E63AF3" w:rsidP="00E63AF3">
                      <w:pPr>
                        <w:numPr>
                          <w:ilvl w:val="1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>FFS: Any specification impact</w:t>
                      </w:r>
                    </w:p>
                    <w:p w14:paraId="648D5D73" w14:textId="77777777" w:rsidR="00E63AF3" w:rsidRPr="00E63AF3" w:rsidRDefault="00E63AF3" w:rsidP="00E63AF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</w:p>
                    <w:p w14:paraId="1E46ED28" w14:textId="77777777" w:rsidR="00E63AF3" w:rsidRPr="00E63AF3" w:rsidRDefault="00E63AF3" w:rsidP="00E63AF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Interpretation #2</w:t>
                      </w:r>
                    </w:p>
                    <w:p w14:paraId="2204CBFC" w14:textId="77777777" w:rsidR="00E63AF3" w:rsidRPr="00E63AF3" w:rsidRDefault="00E63AF3" w:rsidP="00E63AF3">
                      <w:pPr>
                        <w:numPr>
                          <w:ilvl w:val="0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 New Roman" w:eastAsia="Times New Roman" w:hAnsi="Times New Roman" w:cs="Times New Roman"/>
                          <w:szCs w:val="24"/>
                          <w:lang w:val="en-GB" w:eastAsia="ko-KR"/>
                        </w:rPr>
                        <w:t>To determine DCI field sizes of NDI/RV for PDSCH and NDI/RV/CBGTI/UL-SCH indicator for PUSCH when BWP switching field indicates a bandwidth part other than the active bandwidth part,</w:t>
                      </w:r>
                    </w:p>
                    <w:p w14:paraId="2D123BB8" w14:textId="77777777" w:rsidR="00E63AF3" w:rsidRPr="00E63AF3" w:rsidRDefault="00E63AF3" w:rsidP="00E63AF3">
                      <w:pPr>
                        <w:numPr>
                          <w:ilvl w:val="1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 New Roman" w:eastAsia="DengXian" w:hAnsi="Times New Roman" w:cs="Times New Roman" w:hint="eastAsia"/>
                          <w:szCs w:val="24"/>
                          <w:lang w:eastAsia="ko-KR"/>
                        </w:rPr>
                        <w:t>If the active BWP is configured with multi-PDSCH (or multi-PUSCH) scheduling,</w:t>
                      </w:r>
                    </w:p>
                    <w:p w14:paraId="2F89CC06" w14:textId="77777777" w:rsidR="00E63AF3" w:rsidRPr="00E63AF3" w:rsidRDefault="00E63AF3" w:rsidP="00E63AF3">
                      <w:pPr>
                        <w:numPr>
                          <w:ilvl w:val="2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The number of scheduled PDSCHs (or PUSCHs) indicated by the Time domain resource assignment (TDRA) field is determined based on the TDRA field configuration for the </w:t>
                      </w:r>
                      <w:r w:rsidRPr="00E63AF3">
                        <w:rPr>
                          <w:rFonts w:ascii="Times" w:eastAsia="Batang" w:hAnsi="Times" w:cs="Times New Roman"/>
                          <w:b/>
                          <w:szCs w:val="24"/>
                          <w:lang w:eastAsia="ko-KR"/>
                        </w:rPr>
                        <w:t>indicated</w:t>
                      </w: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 bandwidth part.</w:t>
                      </w:r>
                    </w:p>
                    <w:p w14:paraId="5464D546" w14:textId="77777777" w:rsidR="00E63AF3" w:rsidRPr="00E63AF3" w:rsidRDefault="00E63AF3" w:rsidP="00E63AF3">
                      <w:pPr>
                        <w:numPr>
                          <w:ilvl w:val="1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 xml:space="preserve">Otherwise, if </w:t>
                      </w:r>
                      <w:r w:rsidRPr="00E63AF3">
                        <w:rPr>
                          <w:rFonts w:ascii="Times New Roman" w:eastAsia="DengXian" w:hAnsi="Times New Roman" w:cs="Times New Roman" w:hint="eastAsia"/>
                          <w:szCs w:val="24"/>
                          <w:lang w:eastAsia="ko-KR"/>
                        </w:rPr>
                        <w:t xml:space="preserve">the active BWP is </w:t>
                      </w:r>
                      <w:r w:rsidRPr="00E63AF3">
                        <w:rPr>
                          <w:rFonts w:ascii="Times New Roman" w:eastAsia="DengXian" w:hAnsi="Times New Roman" w:cs="Times New Roman"/>
                          <w:szCs w:val="24"/>
                          <w:lang w:eastAsia="ko-KR"/>
                        </w:rPr>
                        <w:t xml:space="preserve">NOT </w:t>
                      </w:r>
                      <w:r w:rsidRPr="00E63AF3">
                        <w:rPr>
                          <w:rFonts w:ascii="Times New Roman" w:eastAsia="DengXian" w:hAnsi="Times New Roman" w:cs="Times New Roman" w:hint="eastAsia"/>
                          <w:szCs w:val="24"/>
                          <w:lang w:eastAsia="ko-KR"/>
                        </w:rPr>
                        <w:t>configured with multi-PDSCH (or multi-PUSCH) scheduling,</w:t>
                      </w:r>
                    </w:p>
                    <w:p w14:paraId="3B56C921" w14:textId="77777777" w:rsidR="00E63AF3" w:rsidRPr="00E63AF3" w:rsidRDefault="00E63AF3" w:rsidP="00E63AF3">
                      <w:pPr>
                        <w:numPr>
                          <w:ilvl w:val="2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>The above DCI field sizes follow the same value as single-PUSCH scheduling.</w:t>
                      </w:r>
                    </w:p>
                    <w:p w14:paraId="0B6EC3A5" w14:textId="77777777" w:rsidR="00E63AF3" w:rsidRPr="00E63AF3" w:rsidRDefault="00E63AF3" w:rsidP="00E63AF3">
                      <w:pPr>
                        <w:numPr>
                          <w:ilvl w:val="1"/>
                          <w:numId w:val="23"/>
                        </w:numPr>
                        <w:spacing w:after="0" w:line="252" w:lineRule="auto"/>
                        <w:jc w:val="both"/>
                        <w:rPr>
                          <w:rFonts w:ascii="Times New Roman" w:eastAsia="Times New Roman" w:hAnsi="Times New Roman" w:cs="Times New Roman"/>
                          <w:szCs w:val="24"/>
                          <w:lang w:eastAsia="zh-CN"/>
                        </w:rPr>
                      </w:pPr>
                      <w:r w:rsidRPr="00E63AF3">
                        <w:rPr>
                          <w:rFonts w:ascii="Times" w:eastAsia="Batang" w:hAnsi="Times" w:cs="Times New Roman"/>
                          <w:szCs w:val="24"/>
                          <w:lang w:eastAsia="ko-KR"/>
                        </w:rPr>
                        <w:t>FFS: Any specification impact</w:t>
                      </w:r>
                    </w:p>
                    <w:p w14:paraId="62E8DBB7" w14:textId="362790F7" w:rsidR="00E63AF3" w:rsidRDefault="00E63AF3"/>
                  </w:txbxContent>
                </v:textbox>
                <w10:wrap type="topAndBottom" anchorx="margin"/>
              </v:shape>
            </w:pict>
          </mc:Fallback>
        </mc:AlternateContent>
      </w:r>
      <w:r w:rsidR="004D42B3">
        <w:rPr>
          <w:lang w:val="en-GB" w:eastAsia="ja-JP"/>
        </w:rPr>
        <w:t>In RAN</w:t>
      </w:r>
      <w:r>
        <w:rPr>
          <w:lang w:val="en-GB" w:eastAsia="ja-JP"/>
        </w:rPr>
        <w:t xml:space="preserve">1#114, the following conclusions were made after extensive discussion (summarized in </w:t>
      </w:r>
      <w:r w:rsidR="00527ABD">
        <w:rPr>
          <w:lang w:val="en-GB" w:eastAsia="ja-JP"/>
        </w:rPr>
        <w:fldChar w:fldCharType="begin"/>
      </w:r>
      <w:r w:rsidR="00527ABD">
        <w:rPr>
          <w:lang w:val="en-GB" w:eastAsia="ja-JP"/>
        </w:rPr>
        <w:instrText xml:space="preserve"> REF _Ref146894823 \r \h </w:instrText>
      </w:r>
      <w:r w:rsidR="00527ABD">
        <w:rPr>
          <w:lang w:val="en-GB" w:eastAsia="ja-JP"/>
        </w:rPr>
      </w:r>
      <w:r w:rsidR="00527ABD">
        <w:rPr>
          <w:lang w:val="en-GB" w:eastAsia="ja-JP"/>
        </w:rPr>
        <w:fldChar w:fldCharType="separate"/>
      </w:r>
      <w:r w:rsidR="00527ABD">
        <w:rPr>
          <w:lang w:val="en-GB" w:eastAsia="ja-JP"/>
        </w:rPr>
        <w:t>[1]</w:t>
      </w:r>
      <w:r w:rsidR="00527ABD">
        <w:rPr>
          <w:lang w:val="en-GB" w:eastAsia="ja-JP"/>
        </w:rPr>
        <w:fldChar w:fldCharType="end"/>
      </w:r>
      <w:r>
        <w:rPr>
          <w:lang w:val="en-GB" w:eastAsia="ja-JP"/>
        </w:rPr>
        <w:t>)</w:t>
      </w:r>
    </w:p>
    <w:p w14:paraId="1BECDA98" w14:textId="325BA976" w:rsidR="00CF6029" w:rsidRDefault="00230D18" w:rsidP="00CF6029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</w:t>
      </w:r>
      <w:bookmarkEnd w:id="0"/>
      <w:r w:rsidR="00CF6029">
        <w:t>n</w:t>
      </w:r>
    </w:p>
    <w:p w14:paraId="0EB4B61F" w14:textId="76F93500" w:rsidR="00393ED4" w:rsidRDefault="0023046C" w:rsidP="0023046C">
      <w:pPr>
        <w:jc w:val="both"/>
        <w:rPr>
          <w:lang w:val="en-GB" w:eastAsia="ja-JP"/>
        </w:rPr>
      </w:pPr>
      <w:r>
        <w:rPr>
          <w:lang w:val="en-GB" w:eastAsia="ja-JP"/>
        </w:rPr>
        <w:t>As we discussed in RAN1#114, o</w:t>
      </w:r>
      <w:r w:rsidRPr="0023046C">
        <w:rPr>
          <w:lang w:val="en-GB" w:eastAsia="ja-JP"/>
        </w:rPr>
        <w:t xml:space="preserve">ur </w:t>
      </w:r>
      <w:r>
        <w:rPr>
          <w:lang w:val="en-GB" w:eastAsia="ja-JP"/>
        </w:rPr>
        <w:t xml:space="preserve">view on the interpretation of the current specifications is according to </w:t>
      </w:r>
      <w:r w:rsidRPr="0023046C">
        <w:rPr>
          <w:b/>
          <w:bCs/>
          <w:lang w:val="en-GB" w:eastAsia="ja-JP"/>
        </w:rPr>
        <w:t>Interpretation #2</w:t>
      </w:r>
      <w:r w:rsidR="00442CC8">
        <w:rPr>
          <w:lang w:val="en-GB" w:eastAsia="ja-JP"/>
        </w:rPr>
        <w:t>. This is a natural interpretation, since the purpose of the BWP</w:t>
      </w:r>
      <w:r w:rsidR="00393ED4">
        <w:rPr>
          <w:lang w:val="en-GB" w:eastAsia="ja-JP"/>
        </w:rPr>
        <w:t xml:space="preserve"> switching field is to indicate a new BWP, and in so doing, clearly all fields in the scheduling DCI should indicate what is actually scheduled</w:t>
      </w:r>
      <w:r w:rsidR="00DE062B">
        <w:rPr>
          <w:lang w:val="en-GB" w:eastAsia="ja-JP"/>
        </w:rPr>
        <w:t>, and the actually scheduling is naturally</w:t>
      </w:r>
      <w:r w:rsidR="00393ED4">
        <w:rPr>
          <w:lang w:val="en-GB" w:eastAsia="ja-JP"/>
        </w:rPr>
        <w:t xml:space="preserve"> in the </w:t>
      </w:r>
      <w:r w:rsidR="00393ED4" w:rsidRPr="00DE062B">
        <w:rPr>
          <w:i/>
          <w:iCs/>
          <w:lang w:val="en-GB" w:eastAsia="ja-JP"/>
        </w:rPr>
        <w:t>indicated</w:t>
      </w:r>
      <w:r w:rsidR="00393ED4">
        <w:rPr>
          <w:lang w:val="en-GB" w:eastAsia="ja-JP"/>
        </w:rPr>
        <w:t xml:space="preserve"> BWP. Specifically, the TDRA field indicates the number of scheduled PxSCHs in the indicated BWP based on the TDRA table configured for the indicated BWP.</w:t>
      </w:r>
    </w:p>
    <w:p w14:paraId="303BC6C1" w14:textId="681E770D" w:rsidR="00393ED4" w:rsidRDefault="0023046C" w:rsidP="0023046C">
      <w:pPr>
        <w:spacing w:after="0" w:line="240" w:lineRule="auto"/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Regarding </w:t>
      </w:r>
      <w:r w:rsidR="00442CC8">
        <w:rPr>
          <w:lang w:val="en-GB" w:eastAsia="ja-JP"/>
        </w:rPr>
        <w:t>Interpretation</w:t>
      </w:r>
      <w:r>
        <w:rPr>
          <w:lang w:val="en-GB" w:eastAsia="ja-JP"/>
        </w:rPr>
        <w:t xml:space="preserve"> #1, w</w:t>
      </w:r>
      <w:r w:rsidRPr="0023046C">
        <w:rPr>
          <w:lang w:val="en-GB" w:eastAsia="ja-JP"/>
        </w:rPr>
        <w:t xml:space="preserve">e don’t think it makes sense </w:t>
      </w:r>
      <w:r w:rsidR="00393ED4">
        <w:rPr>
          <w:lang w:val="en-GB" w:eastAsia="ja-JP"/>
        </w:rPr>
        <w:t xml:space="preserve">at all </w:t>
      </w:r>
      <w:r w:rsidRPr="0023046C">
        <w:rPr>
          <w:lang w:val="en-GB" w:eastAsia="ja-JP"/>
        </w:rPr>
        <w:t xml:space="preserve">that the </w:t>
      </w:r>
      <w:r w:rsidR="00393ED4">
        <w:rPr>
          <w:lang w:val="en-GB" w:eastAsia="ja-JP"/>
        </w:rPr>
        <w:t xml:space="preserve">TDRA field in the scheduling </w:t>
      </w:r>
      <w:r w:rsidRPr="0023046C">
        <w:rPr>
          <w:lang w:val="en-GB" w:eastAsia="ja-JP"/>
        </w:rPr>
        <w:t>DCI would indicate</w:t>
      </w:r>
      <w:r w:rsidR="00393ED4">
        <w:rPr>
          <w:lang w:val="en-GB" w:eastAsia="ja-JP"/>
        </w:rPr>
        <w:t xml:space="preserve"> the number of scheduled PxSCHs based on the TDRA table configured for the active BWP, since the current active BWP will become inactive based on the BWP switch indication.</w:t>
      </w:r>
    </w:p>
    <w:p w14:paraId="274EDF3D" w14:textId="77777777" w:rsidR="00393ED4" w:rsidRDefault="00393ED4" w:rsidP="0023046C">
      <w:pPr>
        <w:spacing w:after="0" w:line="240" w:lineRule="auto"/>
        <w:jc w:val="both"/>
        <w:rPr>
          <w:lang w:val="en-GB" w:eastAsia="ja-JP"/>
        </w:rPr>
      </w:pPr>
    </w:p>
    <w:p w14:paraId="4A745DD9" w14:textId="77777777" w:rsidR="00DE062B" w:rsidRDefault="00393ED4" w:rsidP="0023046C">
      <w:pPr>
        <w:spacing w:after="0" w:line="240" w:lineRule="auto"/>
        <w:jc w:val="both"/>
        <w:rPr>
          <w:lang w:val="en-GB" w:eastAsia="ja-JP"/>
        </w:rPr>
      </w:pPr>
      <w:r>
        <w:rPr>
          <w:lang w:val="en-GB" w:eastAsia="ja-JP"/>
        </w:rPr>
        <w:t xml:space="preserve">We understand that </w:t>
      </w:r>
      <w:r w:rsidR="0023046C" w:rsidRPr="0023046C">
        <w:rPr>
          <w:lang w:val="en-GB" w:eastAsia="ja-JP"/>
        </w:rPr>
        <w:t xml:space="preserve">according to </w:t>
      </w:r>
      <w:r w:rsidR="00442CC8">
        <w:rPr>
          <w:lang w:val="en-GB" w:eastAsia="ja-JP"/>
        </w:rPr>
        <w:t xml:space="preserve">prior </w:t>
      </w:r>
      <w:r w:rsidR="0023046C" w:rsidRPr="0023046C">
        <w:rPr>
          <w:lang w:val="en-GB" w:eastAsia="ja-JP"/>
        </w:rPr>
        <w:t xml:space="preserve">agreements, the </w:t>
      </w:r>
      <w:r w:rsidRPr="00DE062B">
        <w:rPr>
          <w:i/>
          <w:iCs/>
          <w:lang w:val="en-GB" w:eastAsia="ja-JP"/>
        </w:rPr>
        <w:t>size</w:t>
      </w:r>
      <w:r>
        <w:rPr>
          <w:lang w:val="en-GB" w:eastAsia="ja-JP"/>
        </w:rPr>
        <w:t xml:space="preserve"> </w:t>
      </w:r>
      <w:r w:rsidR="0023046C" w:rsidRPr="0023046C">
        <w:rPr>
          <w:lang w:val="en-GB" w:eastAsia="ja-JP"/>
        </w:rPr>
        <w:t xml:space="preserve">of the DCI is determined by the </w:t>
      </w:r>
      <w:r w:rsidR="0023046C" w:rsidRPr="00393ED4">
        <w:rPr>
          <w:i/>
          <w:iCs/>
          <w:lang w:val="en-GB" w:eastAsia="ja-JP"/>
        </w:rPr>
        <w:t>active</w:t>
      </w:r>
      <w:r w:rsidR="0023046C" w:rsidRPr="0023046C">
        <w:rPr>
          <w:lang w:val="en-GB" w:eastAsia="ja-JP"/>
        </w:rPr>
        <w:t xml:space="preserve"> BWP</w:t>
      </w:r>
      <w:r>
        <w:rPr>
          <w:lang w:val="en-GB" w:eastAsia="ja-JP"/>
        </w:rPr>
        <w:t>. Furthermore, we understand that the size of several DCI fields (</w:t>
      </w:r>
      <w:r w:rsidRPr="00393ED4">
        <w:rPr>
          <w:lang w:val="en-GB" w:eastAsia="ja-JP"/>
        </w:rPr>
        <w:t>NDI/RV for PDSCH and NDI/RV/CBGTI/UL-SCH indicator for PUSCH</w:t>
      </w:r>
      <w:r>
        <w:rPr>
          <w:lang w:val="en-GB" w:eastAsia="ja-JP"/>
        </w:rPr>
        <w:t xml:space="preserve">) are dependent on the number of scheduled PxSCHs (determined by the TDRA field which indicates a row from the TDRA table for the </w:t>
      </w:r>
      <w:r w:rsidRPr="00DE062B">
        <w:rPr>
          <w:i/>
          <w:iCs/>
          <w:lang w:val="en-GB" w:eastAsia="ja-JP"/>
        </w:rPr>
        <w:t>indicated</w:t>
      </w:r>
      <w:r>
        <w:rPr>
          <w:lang w:val="en-GB" w:eastAsia="ja-JP"/>
        </w:rPr>
        <w:t xml:space="preserve"> BWP</w:t>
      </w:r>
      <w:r w:rsidR="00DE062B">
        <w:rPr>
          <w:lang w:val="en-GB" w:eastAsia="ja-JP"/>
        </w:rPr>
        <w:t xml:space="preserve"> with Interpretation #2</w:t>
      </w:r>
      <w:r>
        <w:rPr>
          <w:lang w:val="en-GB" w:eastAsia="ja-JP"/>
        </w:rPr>
        <w:t>)</w:t>
      </w:r>
      <w:r w:rsidR="00DE062B">
        <w:rPr>
          <w:lang w:val="en-GB" w:eastAsia="ja-JP"/>
        </w:rPr>
        <w:t xml:space="preserve">. Hence, </w:t>
      </w:r>
      <w:r>
        <w:rPr>
          <w:lang w:val="en-GB" w:eastAsia="ja-JP"/>
        </w:rPr>
        <w:t>there could be a</w:t>
      </w:r>
      <w:r w:rsidR="00DE062B">
        <w:rPr>
          <w:lang w:val="en-GB" w:eastAsia="ja-JP"/>
        </w:rPr>
        <w:t xml:space="preserve"> potential</w:t>
      </w:r>
      <w:r>
        <w:rPr>
          <w:lang w:val="en-GB" w:eastAsia="ja-JP"/>
        </w:rPr>
        <w:t xml:space="preserve"> ambiguity in DCI field size determination</w:t>
      </w:r>
      <w:r w:rsidR="00DE062B">
        <w:rPr>
          <w:lang w:val="en-GB" w:eastAsia="ja-JP"/>
        </w:rPr>
        <w:t xml:space="preserve"> if the gNB is not careful with its implementation. </w:t>
      </w:r>
    </w:p>
    <w:p w14:paraId="7908D2BB" w14:textId="77777777" w:rsidR="00DE062B" w:rsidRDefault="00DE062B" w:rsidP="0023046C">
      <w:pPr>
        <w:spacing w:after="0" w:line="240" w:lineRule="auto"/>
        <w:jc w:val="both"/>
        <w:rPr>
          <w:lang w:val="en-GB" w:eastAsia="ja-JP"/>
        </w:rPr>
      </w:pPr>
    </w:p>
    <w:p w14:paraId="61128E13" w14:textId="3F2661A4" w:rsidR="0023046C" w:rsidRDefault="00DE062B" w:rsidP="0023046C">
      <w:pPr>
        <w:spacing w:after="0" w:line="240" w:lineRule="auto"/>
        <w:jc w:val="both"/>
        <w:rPr>
          <w:lang w:val="en-GB" w:eastAsia="ja-JP"/>
        </w:rPr>
      </w:pPr>
      <w:r>
        <w:rPr>
          <w:lang w:val="en-GB" w:eastAsia="ja-JP"/>
        </w:rPr>
        <w:t xml:space="preserve">However, our view is that the consequence of the DCI field size determination </w:t>
      </w:r>
      <w:r w:rsidR="00BD02ED">
        <w:rPr>
          <w:lang w:val="en-GB" w:eastAsia="ja-JP"/>
        </w:rPr>
        <w:t xml:space="preserve">procedure </w:t>
      </w:r>
      <w:r>
        <w:rPr>
          <w:lang w:val="en-GB" w:eastAsia="ja-JP"/>
        </w:rPr>
        <w:t xml:space="preserve">is that the gNB must </w:t>
      </w:r>
      <w:r w:rsidR="0023046C" w:rsidRPr="0023046C">
        <w:rPr>
          <w:lang w:val="en-GB" w:eastAsia="ja-JP"/>
        </w:rPr>
        <w:t xml:space="preserve">ensure that whatever it schedules in the indicated BWP </w:t>
      </w:r>
      <w:r>
        <w:rPr>
          <w:lang w:val="en-GB" w:eastAsia="ja-JP"/>
        </w:rPr>
        <w:t xml:space="preserve">is consistent with </w:t>
      </w:r>
      <w:r w:rsidR="0023046C" w:rsidRPr="0023046C">
        <w:rPr>
          <w:lang w:val="en-GB" w:eastAsia="ja-JP"/>
        </w:rPr>
        <w:t xml:space="preserve">the DCI size </w:t>
      </w:r>
      <w:r>
        <w:rPr>
          <w:lang w:val="en-GB" w:eastAsia="ja-JP"/>
        </w:rPr>
        <w:t xml:space="preserve">determination </w:t>
      </w:r>
      <w:r w:rsidR="0023046C" w:rsidRPr="0023046C">
        <w:rPr>
          <w:lang w:val="en-GB" w:eastAsia="ja-JP"/>
        </w:rPr>
        <w:t>based on the active BWP. We do not view this as a scheduling restriction. Rather it is a consequence of how the DCI size is determined in the case of a BWP switch.</w:t>
      </w:r>
      <w:r w:rsidR="00442CC8">
        <w:rPr>
          <w:lang w:val="en-GB" w:eastAsia="ja-JP"/>
        </w:rPr>
        <w:t xml:space="preserve"> In </w:t>
      </w:r>
      <w:r w:rsidR="0023046C" w:rsidRPr="0023046C">
        <w:rPr>
          <w:lang w:val="en-GB" w:eastAsia="ja-JP"/>
        </w:rPr>
        <w:t>RAN1#112bis-e</w:t>
      </w:r>
      <w:r w:rsidR="00442CC8">
        <w:rPr>
          <w:lang w:val="en-GB" w:eastAsia="ja-JP"/>
        </w:rPr>
        <w:t xml:space="preserve">, we discussed how the gNB would need to schedule to conform to this. For example, when a BWP switch is indicated, the gNB should indicate a row in the TDRA table configured for the indicated BWP (row index </w:t>
      </w:r>
      <w:r w:rsidR="00442CC8" w:rsidRPr="00442CC8">
        <w:rPr>
          <w:i/>
          <w:iCs/>
          <w:lang w:val="en-GB" w:eastAsia="ja-JP"/>
        </w:rPr>
        <w:t>i</w:t>
      </w:r>
      <w:r w:rsidR="00442CC8">
        <w:rPr>
          <w:lang w:val="en-GB" w:eastAsia="ja-JP"/>
        </w:rPr>
        <w:t xml:space="preserve">) such that the number of PxSCHs for that row is the same as the number of PxSCHs for row </w:t>
      </w:r>
      <w:r w:rsidR="00442CC8" w:rsidRPr="00442CC8">
        <w:rPr>
          <w:i/>
          <w:iCs/>
          <w:lang w:val="en-GB" w:eastAsia="ja-JP"/>
        </w:rPr>
        <w:t>i</w:t>
      </w:r>
      <w:r w:rsidR="00442CC8">
        <w:rPr>
          <w:lang w:val="en-GB" w:eastAsia="ja-JP"/>
        </w:rPr>
        <w:t xml:space="preserve"> of the TDRA table configured for the active BWP. This implies that the TDRA table </w:t>
      </w:r>
      <w:r>
        <w:rPr>
          <w:lang w:val="en-GB" w:eastAsia="ja-JP"/>
        </w:rPr>
        <w:t xml:space="preserve">configured </w:t>
      </w:r>
      <w:r w:rsidR="00442CC8">
        <w:rPr>
          <w:lang w:val="en-GB" w:eastAsia="ja-JP"/>
        </w:rPr>
        <w:t>for both BWPs must share a row index with the same number of PxSCHs</w:t>
      </w:r>
      <w:r>
        <w:rPr>
          <w:lang w:val="en-GB" w:eastAsia="ja-JP"/>
        </w:rPr>
        <w:t>. We don’t see this as an onerous limitation on configuration flexibility.</w:t>
      </w:r>
    </w:p>
    <w:p w14:paraId="3743513B" w14:textId="2C901415" w:rsidR="00DE062B" w:rsidRDefault="00DE062B" w:rsidP="0023046C">
      <w:pPr>
        <w:spacing w:after="0" w:line="240" w:lineRule="auto"/>
        <w:jc w:val="both"/>
        <w:rPr>
          <w:lang w:val="en-GB" w:eastAsia="ja-JP"/>
        </w:rPr>
      </w:pPr>
    </w:p>
    <w:p w14:paraId="2550BD6A" w14:textId="771A5F24" w:rsidR="0023046C" w:rsidRDefault="00DE062B" w:rsidP="0023046C">
      <w:pPr>
        <w:spacing w:after="0" w:line="240" w:lineRule="auto"/>
        <w:jc w:val="both"/>
        <w:rPr>
          <w:lang w:val="en-GB" w:eastAsia="ja-JP"/>
        </w:rPr>
      </w:pPr>
      <w:r>
        <w:rPr>
          <w:lang w:val="en-GB" w:eastAsia="ja-JP"/>
        </w:rPr>
        <w:t xml:space="preserve">Based on this discussion, we think that there is no spec impact for Interpretation #2. </w:t>
      </w:r>
      <w:r w:rsidR="00E06DED">
        <w:rPr>
          <w:lang w:val="en-GB" w:eastAsia="ja-JP"/>
        </w:rPr>
        <w:t xml:space="preserve">Hence, in our view the CRs in </w:t>
      </w:r>
      <w:r w:rsidR="00E06DED">
        <w:rPr>
          <w:lang w:val="en-GB" w:eastAsia="ja-JP"/>
        </w:rPr>
        <w:fldChar w:fldCharType="begin"/>
      </w:r>
      <w:r w:rsidR="00E06DED">
        <w:rPr>
          <w:lang w:val="en-GB" w:eastAsia="ja-JP"/>
        </w:rPr>
        <w:instrText xml:space="preserve"> REF _Ref146897940 \r \h </w:instrText>
      </w:r>
      <w:r w:rsidR="00E06DED">
        <w:rPr>
          <w:lang w:val="en-GB" w:eastAsia="ja-JP"/>
        </w:rPr>
      </w:r>
      <w:r w:rsidR="00E06DED">
        <w:rPr>
          <w:lang w:val="en-GB" w:eastAsia="ja-JP"/>
        </w:rPr>
        <w:fldChar w:fldCharType="separate"/>
      </w:r>
      <w:r w:rsidR="00E06DED">
        <w:rPr>
          <w:lang w:val="en-GB" w:eastAsia="ja-JP"/>
        </w:rPr>
        <w:t>[2]</w:t>
      </w:r>
      <w:r w:rsidR="00E06DED">
        <w:rPr>
          <w:lang w:val="en-GB" w:eastAsia="ja-JP"/>
        </w:rPr>
        <w:fldChar w:fldCharType="end"/>
      </w:r>
      <w:r w:rsidR="00E06DED">
        <w:rPr>
          <w:lang w:val="en-GB" w:eastAsia="ja-JP"/>
        </w:rPr>
        <w:t xml:space="preserve"> – </w:t>
      </w:r>
      <w:r w:rsidR="00E06DED">
        <w:rPr>
          <w:lang w:val="en-GB" w:eastAsia="ja-JP"/>
        </w:rPr>
        <w:fldChar w:fldCharType="begin"/>
      </w:r>
      <w:r w:rsidR="00E06DED">
        <w:rPr>
          <w:lang w:val="en-GB" w:eastAsia="ja-JP"/>
        </w:rPr>
        <w:instrText xml:space="preserve"> REF _Ref146897943 \r \h </w:instrText>
      </w:r>
      <w:r w:rsidR="00E06DED">
        <w:rPr>
          <w:lang w:val="en-GB" w:eastAsia="ja-JP"/>
        </w:rPr>
      </w:r>
      <w:r w:rsidR="00E06DED">
        <w:rPr>
          <w:lang w:val="en-GB" w:eastAsia="ja-JP"/>
        </w:rPr>
        <w:fldChar w:fldCharType="separate"/>
      </w:r>
      <w:r w:rsidR="00E06DED">
        <w:rPr>
          <w:lang w:val="en-GB" w:eastAsia="ja-JP"/>
        </w:rPr>
        <w:t>[7]</w:t>
      </w:r>
      <w:r w:rsidR="00E06DED">
        <w:rPr>
          <w:lang w:val="en-GB" w:eastAsia="ja-JP"/>
        </w:rPr>
        <w:fldChar w:fldCharType="end"/>
      </w:r>
      <w:r w:rsidR="00E06DED">
        <w:rPr>
          <w:lang w:val="en-GB" w:eastAsia="ja-JP"/>
        </w:rPr>
        <w:t xml:space="preserve"> are not needed. If companies would be more comfortable with a conclusion in the chairman notes that DCI size determination ambiguity is avoided by gNB implementation (e.g., as outlined above), then we are open to discuss such a conclusion. In fact, based on offline discussion at the end of RAN1#114, it seemed that several concerned companies would be okay with such a conclusion.</w:t>
      </w:r>
    </w:p>
    <w:p w14:paraId="49C0D33A" w14:textId="05742853" w:rsidR="00E06DED" w:rsidRDefault="00E06DED" w:rsidP="0023046C">
      <w:pPr>
        <w:spacing w:after="0" w:line="240" w:lineRule="auto"/>
        <w:jc w:val="both"/>
        <w:rPr>
          <w:lang w:val="en-GB" w:eastAsia="ja-JP"/>
        </w:rPr>
      </w:pPr>
    </w:p>
    <w:p w14:paraId="543B99DF" w14:textId="51231267" w:rsidR="00E06DED" w:rsidRDefault="00E06DED" w:rsidP="00E06DED">
      <w:pPr>
        <w:pStyle w:val="Proposal"/>
        <w:rPr>
          <w:lang w:val="en-GB"/>
        </w:rPr>
      </w:pPr>
      <w:r>
        <w:rPr>
          <w:lang w:val="en-GB"/>
        </w:rPr>
        <w:t>RAN1 to agree that current specifications are interpreted according to Interpretation #2</w:t>
      </w:r>
    </w:p>
    <w:p w14:paraId="689121F3" w14:textId="22D053C7" w:rsidR="00E06DED" w:rsidRDefault="00E06DED" w:rsidP="0023046C">
      <w:pPr>
        <w:spacing w:after="0" w:line="240" w:lineRule="auto"/>
        <w:jc w:val="both"/>
        <w:rPr>
          <w:lang w:val="en-GB" w:eastAsia="ja-JP"/>
        </w:rPr>
      </w:pPr>
    </w:p>
    <w:p w14:paraId="4C4CF30C" w14:textId="48C6F49F" w:rsidR="0023046C" w:rsidRDefault="00E06DED" w:rsidP="00E06DED">
      <w:pPr>
        <w:pStyle w:val="Observation"/>
        <w:rPr>
          <w:lang w:val="en-GB"/>
        </w:rPr>
      </w:pPr>
      <w:r>
        <w:rPr>
          <w:lang w:val="en-GB"/>
        </w:rPr>
        <w:t>Interpretation #2 has no spec impact. Potential ambiguity in DCI size determination is avoided by gNB implementation.</w:t>
      </w:r>
    </w:p>
    <w:p w14:paraId="27B92066" w14:textId="3DDD3B69" w:rsidR="00E06DED" w:rsidRPr="00E06DED" w:rsidRDefault="00E06DED" w:rsidP="0023046C">
      <w:pPr>
        <w:pStyle w:val="Proposal"/>
        <w:rPr>
          <w:lang w:val="en-GB"/>
        </w:rPr>
      </w:pPr>
      <w:r>
        <w:rPr>
          <w:lang w:val="en-GB"/>
        </w:rPr>
        <w:t>RAN1 to discuss whether or not a conclusion in the Chairman notes is needed.</w:t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15CA09B" w14:textId="442DD0D1" w:rsidR="003A7EF3" w:rsidRDefault="00527ABD" w:rsidP="00E04BBB">
      <w:pPr>
        <w:pStyle w:val="Reference"/>
      </w:pPr>
      <w:bookmarkStart w:id="2" w:name="_Ref146894823"/>
      <w:r>
        <w:t>R1-2308586, “</w:t>
      </w:r>
      <w:r w:rsidRPr="00527ABD">
        <w:t>Summary #2 of PDSCH/PUSCH enhancements (Scheduling/HARQ)</w:t>
      </w:r>
      <w:r>
        <w:t>,”</w:t>
      </w:r>
      <w:bookmarkEnd w:id="2"/>
      <w:r>
        <w:t xml:space="preserve"> Moderator (LG Electronics), RAN1#114, August 2023.</w:t>
      </w:r>
    </w:p>
    <w:p w14:paraId="2FCF21C4" w14:textId="0717CB55" w:rsidR="0023046C" w:rsidRDefault="0023046C" w:rsidP="0023046C">
      <w:pPr>
        <w:pStyle w:val="Reference"/>
      </w:pPr>
      <w:bookmarkStart w:id="3" w:name="_Ref146897940"/>
      <w:r>
        <w:t>R1-2307445</w:t>
      </w:r>
      <w:r>
        <w:t>, “</w:t>
      </w:r>
      <w:r>
        <w:t>Draft CR on the interpretation of the number of scheduled PUSCH during DCI-based BWP switching (Rel-16)</w:t>
      </w:r>
      <w:r>
        <w:t xml:space="preserve">,” </w:t>
      </w:r>
      <w:r>
        <w:t>NTT DOCOMO, INC</w:t>
      </w:r>
      <w:r>
        <w:t xml:space="preserve">, </w:t>
      </w:r>
      <w:r>
        <w:t>RAN1#114, August 2023.</w:t>
      </w:r>
      <w:bookmarkEnd w:id="3"/>
    </w:p>
    <w:p w14:paraId="24536ED2" w14:textId="36E0338D" w:rsidR="0023046C" w:rsidRDefault="0023046C" w:rsidP="0023046C">
      <w:pPr>
        <w:pStyle w:val="Reference"/>
      </w:pPr>
      <w:r>
        <w:t>R1-2307446</w:t>
      </w:r>
      <w:r>
        <w:t>, “</w:t>
      </w:r>
      <w:r>
        <w:t>Draft CR on the interpretation of the number of scheduled PUSCH during DCI-based BWP switching (Rel-17)</w:t>
      </w:r>
      <w:r>
        <w:t xml:space="preserve">,” </w:t>
      </w:r>
      <w:r>
        <w:t>NTT DOCOMO, INC.</w:t>
      </w:r>
      <w:r>
        <w:t xml:space="preserve">, </w:t>
      </w:r>
      <w:r>
        <w:t>RAN1#114, August 2023.</w:t>
      </w:r>
    </w:p>
    <w:p w14:paraId="3CE518FA" w14:textId="1B058BE5" w:rsidR="00527ABD" w:rsidRDefault="00527ABD" w:rsidP="00527ABD">
      <w:pPr>
        <w:pStyle w:val="Reference"/>
      </w:pPr>
      <w:r>
        <w:t>R1-2307455</w:t>
      </w:r>
      <w:r>
        <w:t>, “</w:t>
      </w:r>
      <w:r>
        <w:t>Draft CR on the interpretation of the number of scheduled PDSCH during DCI-based BWP switching</w:t>
      </w:r>
      <w:r>
        <w:t xml:space="preserve">,” </w:t>
      </w:r>
      <w:r>
        <w:t>NTT DOCOMO, INC.</w:t>
      </w:r>
      <w:r>
        <w:t>,</w:t>
      </w:r>
      <w:r w:rsidRPr="00527ABD">
        <w:t xml:space="preserve"> </w:t>
      </w:r>
      <w:r>
        <w:t>RAN1#114, August 2023</w:t>
      </w:r>
      <w:r>
        <w:t>.</w:t>
      </w:r>
    </w:p>
    <w:p w14:paraId="2CB0C9A1" w14:textId="68F57934" w:rsidR="00527ABD" w:rsidRDefault="00527ABD" w:rsidP="00527ABD">
      <w:pPr>
        <w:pStyle w:val="Reference"/>
      </w:pPr>
      <w:r>
        <w:t>R1-2307457</w:t>
      </w:r>
      <w:r>
        <w:t>, “</w:t>
      </w:r>
      <w:r>
        <w:t>Draft CR on NDI/RV for the scheduled PDSCHs when BWP switching is indicated</w:t>
      </w:r>
      <w:r>
        <w:tab/>
      </w:r>
      <w:r>
        <w:t xml:space="preserve">,” </w:t>
      </w:r>
      <w:r>
        <w:t>NTT DOCOMO, INC.</w:t>
      </w:r>
      <w:r>
        <w:t xml:space="preserve">, </w:t>
      </w:r>
      <w:r>
        <w:t>RAN1#114, August 2023</w:t>
      </w:r>
      <w:r>
        <w:t>.</w:t>
      </w:r>
    </w:p>
    <w:p w14:paraId="6D19E0B4" w14:textId="77777777" w:rsidR="0023046C" w:rsidRDefault="0023046C" w:rsidP="0023046C">
      <w:pPr>
        <w:pStyle w:val="Reference"/>
      </w:pPr>
      <w:r>
        <w:t>R1-2307448, “Draft CR on NDI/RV for the scheduled PUSCHs when BWP switching is indicated (Rel-16),” NTT DOCOMO, INC., RAN1#114, August 2023.</w:t>
      </w:r>
    </w:p>
    <w:p w14:paraId="2C37A0A0" w14:textId="1BE98307" w:rsidR="0023046C" w:rsidRDefault="0023046C" w:rsidP="0023046C">
      <w:pPr>
        <w:pStyle w:val="Reference"/>
      </w:pPr>
      <w:bookmarkStart w:id="4" w:name="_Ref146897943"/>
      <w:r>
        <w:t>R1-2307449, “Draft CR on NDI/RV for the scheduled PUSCHs when BWP switching is indicated (Rel-17),” NTT DOCOMO, INC., RAN1#114, August 2023.</w:t>
      </w:r>
      <w:bookmarkEnd w:id="4"/>
    </w:p>
    <w:p w14:paraId="64E57537" w14:textId="77777777" w:rsidR="0023046C" w:rsidRPr="00CE0424" w:rsidRDefault="0023046C" w:rsidP="0023046C">
      <w:pPr>
        <w:pStyle w:val="Reference"/>
        <w:numPr>
          <w:ilvl w:val="0"/>
          <w:numId w:val="0"/>
        </w:numPr>
        <w:ind w:left="567" w:hanging="567"/>
      </w:pPr>
    </w:p>
    <w:sectPr w:rsidR="0023046C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60A0" w14:textId="77777777" w:rsidR="00CB1185" w:rsidRDefault="00CB1185">
      <w:r>
        <w:separator/>
      </w:r>
    </w:p>
  </w:endnote>
  <w:endnote w:type="continuationSeparator" w:id="0">
    <w:p w14:paraId="48706761" w14:textId="77777777" w:rsidR="00CB1185" w:rsidRDefault="00CB1185">
      <w:r>
        <w:continuationSeparator/>
      </w:r>
    </w:p>
  </w:endnote>
  <w:endnote w:type="continuationNotice" w:id="1">
    <w:p w14:paraId="39B02A8F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9D53" w14:textId="77777777" w:rsidR="00CB1185" w:rsidRDefault="00CB1185">
      <w:r>
        <w:separator/>
      </w:r>
    </w:p>
  </w:footnote>
  <w:footnote w:type="continuationSeparator" w:id="0">
    <w:p w14:paraId="16F84875" w14:textId="77777777" w:rsidR="00CB1185" w:rsidRDefault="00CB1185">
      <w:r>
        <w:continuationSeparator/>
      </w:r>
    </w:p>
  </w:footnote>
  <w:footnote w:type="continuationNotice" w:id="1">
    <w:p w14:paraId="0089C00A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4h4H4H41h41H42h42H43h43H411h411H421h421H44h"/>
      <w:lvlText w:val="[%1]"/>
      <w:lvlJc w:val="left"/>
      <w:pPr>
        <w:tabs>
          <w:tab w:val="left" w:pos="643"/>
        </w:tabs>
        <w:ind w:left="643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0389243">
    <w:abstractNumId w:val="3"/>
  </w:num>
  <w:num w:numId="2" w16cid:durableId="356658879">
    <w:abstractNumId w:val="18"/>
  </w:num>
  <w:num w:numId="3" w16cid:durableId="174879122">
    <w:abstractNumId w:val="13"/>
  </w:num>
  <w:num w:numId="4" w16cid:durableId="312101142">
    <w:abstractNumId w:val="14"/>
  </w:num>
  <w:num w:numId="5" w16cid:durableId="1215965610">
    <w:abstractNumId w:val="9"/>
  </w:num>
  <w:num w:numId="6" w16cid:durableId="1447843897">
    <w:abstractNumId w:val="17"/>
  </w:num>
  <w:num w:numId="7" w16cid:durableId="1150245915">
    <w:abstractNumId w:val="21"/>
  </w:num>
  <w:num w:numId="8" w16cid:durableId="533464628">
    <w:abstractNumId w:val="10"/>
  </w:num>
  <w:num w:numId="9" w16cid:durableId="185215652">
    <w:abstractNumId w:val="7"/>
  </w:num>
  <w:num w:numId="10" w16cid:durableId="2082675606">
    <w:abstractNumId w:val="2"/>
  </w:num>
  <w:num w:numId="11" w16cid:durableId="945113562">
    <w:abstractNumId w:val="1"/>
  </w:num>
  <w:num w:numId="12" w16cid:durableId="1629043638">
    <w:abstractNumId w:val="0"/>
  </w:num>
  <w:num w:numId="13" w16cid:durableId="676729717">
    <w:abstractNumId w:val="19"/>
  </w:num>
  <w:num w:numId="14" w16cid:durableId="1199775770">
    <w:abstractNumId w:val="20"/>
  </w:num>
  <w:num w:numId="15" w16cid:durableId="2115248407">
    <w:abstractNumId w:val="15"/>
  </w:num>
  <w:num w:numId="16" w16cid:durableId="198705281">
    <w:abstractNumId w:val="22"/>
  </w:num>
  <w:num w:numId="17" w16cid:durableId="1542355739">
    <w:abstractNumId w:val="5"/>
  </w:num>
  <w:num w:numId="18" w16cid:durableId="1000498764">
    <w:abstractNumId w:val="6"/>
  </w:num>
  <w:num w:numId="19" w16cid:durableId="646594831">
    <w:abstractNumId w:val="4"/>
  </w:num>
  <w:num w:numId="20" w16cid:durableId="1060135512">
    <w:abstractNumId w:val="24"/>
  </w:num>
  <w:num w:numId="21" w16cid:durableId="1289774860">
    <w:abstractNumId w:val="11"/>
  </w:num>
  <w:num w:numId="22" w16cid:durableId="669717043">
    <w:abstractNumId w:val="23"/>
  </w:num>
  <w:num w:numId="23" w16cid:durableId="84502346">
    <w:abstractNumId w:val="16"/>
  </w:num>
  <w:num w:numId="24" w16cid:durableId="2073382616">
    <w:abstractNumId w:val="8"/>
  </w:num>
  <w:num w:numId="25" w16cid:durableId="549000038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CE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46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706"/>
    <w:rsid w:val="003742AC"/>
    <w:rsid w:val="00377CE1"/>
    <w:rsid w:val="00385BF0"/>
    <w:rsid w:val="003939FF"/>
    <w:rsid w:val="00393ED4"/>
    <w:rsid w:val="003A2223"/>
    <w:rsid w:val="003A2A0F"/>
    <w:rsid w:val="003A45A1"/>
    <w:rsid w:val="003A5B0A"/>
    <w:rsid w:val="003A6BAC"/>
    <w:rsid w:val="003A70A4"/>
    <w:rsid w:val="003A7EF3"/>
    <w:rsid w:val="003B159C"/>
    <w:rsid w:val="003B3678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08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D93"/>
    <w:rsid w:val="00441A92"/>
    <w:rsid w:val="00442CC8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42B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B9E"/>
    <w:rsid w:val="005116F9"/>
    <w:rsid w:val="005153A7"/>
    <w:rsid w:val="005219CF"/>
    <w:rsid w:val="00527ABD"/>
    <w:rsid w:val="00534B59"/>
    <w:rsid w:val="00536759"/>
    <w:rsid w:val="00537C62"/>
    <w:rsid w:val="00543A27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F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891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1B"/>
    <w:rsid w:val="008376AC"/>
    <w:rsid w:val="00841994"/>
    <w:rsid w:val="008444E8"/>
    <w:rsid w:val="00844811"/>
    <w:rsid w:val="00844E80"/>
    <w:rsid w:val="00846FE7"/>
    <w:rsid w:val="00856911"/>
    <w:rsid w:val="0086177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7E9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19E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2ED"/>
    <w:rsid w:val="00BD48AC"/>
    <w:rsid w:val="00BD5F1A"/>
    <w:rsid w:val="00BE1234"/>
    <w:rsid w:val="00BE2FA6"/>
    <w:rsid w:val="00BE333F"/>
    <w:rsid w:val="00BE7406"/>
    <w:rsid w:val="00BE7603"/>
    <w:rsid w:val="00BF3279"/>
    <w:rsid w:val="00BF683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029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62B"/>
    <w:rsid w:val="00DE5608"/>
    <w:rsid w:val="00DE58D0"/>
    <w:rsid w:val="00DE654F"/>
    <w:rsid w:val="00DF0B6E"/>
    <w:rsid w:val="00DF15E0"/>
    <w:rsid w:val="00DF37A0"/>
    <w:rsid w:val="00E04BBB"/>
    <w:rsid w:val="00E06DE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27"/>
    <w:rsid w:val="00E57565"/>
    <w:rsid w:val="00E63838"/>
    <w:rsid w:val="00E63AF3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E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27ABD"/>
    <w:pPr>
      <w:keepLines w:val="0"/>
      <w:numPr>
        <w:numId w:val="25"/>
      </w:numPr>
      <w:tabs>
        <w:tab w:val="left" w:pos="720"/>
        <w:tab w:val="left" w:pos="864"/>
      </w:tabs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styleId="BodyTextIndent3">
    <w:name w:val="Body Text Indent 3"/>
    <w:basedOn w:val="Normal"/>
    <w:link w:val="BodyTextIndent3Char"/>
    <w:rsid w:val="0023046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046C"/>
    <w:rPr>
      <w:rFonts w:ascii="Arial" w:eastAsiaTheme="minorHAnsi" w:hAnsi="Arial" w:cstheme="minorBidi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9b239327-9e80-40e4-b1b7-4394fed77a33"/>
    <ds:schemaRef ds:uri="2f282d3b-eb4a-4b09-b61f-b9593442e286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2</Pages>
  <Words>733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18</cp:revision>
  <cp:lastPrinted>2008-01-31T16:09:00Z</cp:lastPrinted>
  <dcterms:created xsi:type="dcterms:W3CDTF">2020-08-14T06:21:00Z</dcterms:created>
  <dcterms:modified xsi:type="dcterms:W3CDTF">2023-09-29T23:49:00Z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